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307" w:rsidRPr="006F3CF2" w:rsidRDefault="00837180" w:rsidP="00FC2307">
      <w:pPr>
        <w:jc w:val="center"/>
        <w:rPr>
          <w:rFonts w:ascii="Minion Pro" w:hAnsi="Minion Pro"/>
          <w:b/>
          <w:sz w:val="22"/>
          <w:szCs w:val="22"/>
        </w:rPr>
      </w:pPr>
      <w:r>
        <w:rPr>
          <w:rFonts w:ascii="Minion Pro" w:hAnsi="Minion Pro"/>
          <w:b/>
          <w:sz w:val="22"/>
          <w:szCs w:val="22"/>
        </w:rPr>
        <w:t>PREGÃO ELETRÔNICO SESC Nº XXX</w:t>
      </w:r>
      <w:r w:rsidR="00FC2307" w:rsidRPr="006F3CF2">
        <w:rPr>
          <w:rFonts w:ascii="Minion Pro" w:hAnsi="Minion Pro"/>
          <w:b/>
          <w:sz w:val="22"/>
          <w:szCs w:val="22"/>
        </w:rPr>
        <w:t>/</w:t>
      </w:r>
      <w:r w:rsidR="00193D46">
        <w:rPr>
          <w:rFonts w:ascii="Minion Pro" w:hAnsi="Minion Pro"/>
          <w:b/>
          <w:sz w:val="22"/>
          <w:szCs w:val="22"/>
        </w:rPr>
        <w:t>202</w:t>
      </w:r>
      <w:r w:rsidR="000B79F2">
        <w:rPr>
          <w:rFonts w:ascii="Minion Pro" w:hAnsi="Minion Pro"/>
          <w:b/>
          <w:sz w:val="22"/>
          <w:szCs w:val="22"/>
        </w:rPr>
        <w:t>5</w:t>
      </w:r>
      <w:r w:rsidR="00FC2307">
        <w:rPr>
          <w:rFonts w:ascii="Minion Pro" w:hAnsi="Minion Pro"/>
          <w:b/>
          <w:sz w:val="22"/>
          <w:szCs w:val="22"/>
        </w:rPr>
        <w:t xml:space="preserve"> E SENAC </w:t>
      </w:r>
      <w:r w:rsidR="00FC2307" w:rsidRPr="006F3CF2">
        <w:rPr>
          <w:rFonts w:ascii="Minion Pro" w:hAnsi="Minion Pro"/>
          <w:b/>
          <w:sz w:val="22"/>
          <w:szCs w:val="22"/>
        </w:rPr>
        <w:t>Nº XXX/</w:t>
      </w:r>
      <w:r w:rsidR="00193D46">
        <w:rPr>
          <w:rFonts w:ascii="Minion Pro" w:hAnsi="Minion Pro"/>
          <w:b/>
          <w:sz w:val="22"/>
          <w:szCs w:val="22"/>
        </w:rPr>
        <w:t>202</w:t>
      </w:r>
      <w:r w:rsidR="000B79F2">
        <w:rPr>
          <w:rFonts w:ascii="Minion Pro" w:hAnsi="Minion Pro"/>
          <w:b/>
          <w:sz w:val="22"/>
          <w:szCs w:val="22"/>
        </w:rPr>
        <w:t>5</w:t>
      </w:r>
    </w:p>
    <w:p w:rsidR="00FC2307" w:rsidRPr="006F3CF2" w:rsidRDefault="00FC2307" w:rsidP="00FC2307">
      <w:pPr>
        <w:jc w:val="center"/>
        <w:rPr>
          <w:rFonts w:ascii="Minion Pro" w:hAnsi="Minion Pro"/>
          <w:b/>
          <w:sz w:val="22"/>
          <w:szCs w:val="22"/>
        </w:rPr>
      </w:pPr>
      <w:r w:rsidRPr="006F3CF2">
        <w:rPr>
          <w:rFonts w:ascii="Minion Pro" w:hAnsi="Minion Pro"/>
          <w:b/>
          <w:sz w:val="22"/>
          <w:szCs w:val="22"/>
        </w:rPr>
        <w:t>RESPOSTA AO ESCLARECIMENTO/IMPUGNAÇÃO DA EMPRESA XXX:</w:t>
      </w:r>
    </w:p>
    <w:p w:rsidR="00FC2307" w:rsidRPr="006F3CF2" w:rsidRDefault="00FC2307" w:rsidP="00FC2307">
      <w:pPr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 xml:space="preserve">Considerando o exposto na </w:t>
      </w:r>
      <w:r w:rsidRPr="00584A73">
        <w:rPr>
          <w:rFonts w:ascii="Minion Pro" w:hAnsi="Minion Pro"/>
          <w:sz w:val="22"/>
          <w:szCs w:val="22"/>
          <w:highlight w:val="yellow"/>
        </w:rPr>
        <w:t xml:space="preserve">Cláusula </w:t>
      </w:r>
      <w:r>
        <w:rPr>
          <w:rFonts w:ascii="Minion Pro" w:hAnsi="Minion Pro"/>
          <w:sz w:val="22"/>
          <w:szCs w:val="22"/>
          <w:highlight w:val="yellow"/>
        </w:rPr>
        <w:t>5</w:t>
      </w:r>
      <w:r w:rsidRPr="00584A73">
        <w:rPr>
          <w:rFonts w:ascii="Minion Pro" w:hAnsi="Minion Pro"/>
          <w:sz w:val="22"/>
          <w:szCs w:val="22"/>
          <w:highlight w:val="yellow"/>
        </w:rPr>
        <w:t xml:space="preserve"> do Edital</w:t>
      </w:r>
      <w:r w:rsidRPr="0056477E">
        <w:rPr>
          <w:rFonts w:ascii="Minion Pro" w:hAnsi="Minion Pro"/>
          <w:sz w:val="22"/>
          <w:szCs w:val="22"/>
        </w:rPr>
        <w:t xml:space="preserve"> do Pregão Eletrônico ou Presencial ou Concorrência ou Convite SESC ou SENAC ou SESC/SENAC nº XXX/</w:t>
      </w:r>
      <w:r>
        <w:rPr>
          <w:rFonts w:ascii="Minion Pro" w:hAnsi="Minion Pro"/>
          <w:sz w:val="22"/>
          <w:szCs w:val="22"/>
        </w:rPr>
        <w:t>2025</w:t>
      </w:r>
      <w:r w:rsidRPr="0056477E">
        <w:rPr>
          <w:rFonts w:ascii="Minion Pro" w:hAnsi="Minion Pro"/>
          <w:sz w:val="22"/>
          <w:szCs w:val="22"/>
        </w:rPr>
        <w:t>;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 xml:space="preserve">O(a) Pregoeiro(a), auxiliado pela área técnica (caso haja necessidade da área técnica), vem se manifestar: 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  <w:r w:rsidRPr="0056477E">
        <w:rPr>
          <w:rFonts w:ascii="Minion Pro" w:hAnsi="Minion Pro"/>
          <w:b/>
          <w:sz w:val="22"/>
          <w:szCs w:val="22"/>
        </w:rPr>
        <w:t>I – Da Tempestividade da Impugnação/Esclarecimento: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>Considerando que o Edital foi publicado no dia XX/XX/</w:t>
      </w:r>
      <w:r>
        <w:rPr>
          <w:rFonts w:ascii="Minion Pro" w:hAnsi="Minion Pro"/>
          <w:sz w:val="22"/>
          <w:szCs w:val="22"/>
        </w:rPr>
        <w:t>202</w:t>
      </w:r>
      <w:r>
        <w:rPr>
          <w:rFonts w:ascii="Minion Pro" w:hAnsi="Minion Pro"/>
          <w:sz w:val="22"/>
          <w:szCs w:val="22"/>
        </w:rPr>
        <w:t>5</w:t>
      </w:r>
      <w:bookmarkStart w:id="0" w:name="_GoBack"/>
      <w:bookmarkEnd w:id="0"/>
      <w:r w:rsidRPr="0056477E">
        <w:rPr>
          <w:rFonts w:ascii="Minion Pro" w:hAnsi="Minion Pro"/>
          <w:sz w:val="22"/>
          <w:szCs w:val="22"/>
        </w:rPr>
        <w:t>;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 xml:space="preserve">Considerando a previsão na </w:t>
      </w:r>
      <w:r w:rsidRPr="00584A73">
        <w:rPr>
          <w:rFonts w:ascii="Minion Pro" w:hAnsi="Minion Pro"/>
          <w:sz w:val="22"/>
          <w:szCs w:val="22"/>
          <w:highlight w:val="yellow"/>
        </w:rPr>
        <w:t xml:space="preserve">Cláusula </w:t>
      </w:r>
      <w:r>
        <w:rPr>
          <w:rFonts w:ascii="Minion Pro" w:hAnsi="Minion Pro"/>
          <w:sz w:val="22"/>
          <w:szCs w:val="22"/>
          <w:highlight w:val="yellow"/>
        </w:rPr>
        <w:t>5</w:t>
      </w:r>
      <w:r w:rsidRPr="00584A73">
        <w:rPr>
          <w:rFonts w:ascii="Minion Pro" w:hAnsi="Minion Pro"/>
          <w:sz w:val="22"/>
          <w:szCs w:val="22"/>
          <w:highlight w:val="yellow"/>
        </w:rPr>
        <w:t>.1</w:t>
      </w:r>
      <w:r w:rsidRPr="0056477E">
        <w:rPr>
          <w:rFonts w:ascii="Minion Pro" w:hAnsi="Minion Pro"/>
          <w:sz w:val="22"/>
          <w:szCs w:val="22"/>
        </w:rPr>
        <w:t xml:space="preserve"> </w:t>
      </w:r>
      <w:r w:rsidRPr="00F6174D">
        <w:rPr>
          <w:rFonts w:ascii="Minion Pro" w:hAnsi="Minion Pro"/>
          <w:b/>
          <w:sz w:val="22"/>
          <w:szCs w:val="22"/>
          <w:u w:val="single"/>
        </w:rPr>
        <w:t>(no caso de Impugnação)</w:t>
      </w:r>
      <w:r w:rsidRPr="0056477E">
        <w:rPr>
          <w:rFonts w:ascii="Minion Pro" w:hAnsi="Minion Pro"/>
          <w:sz w:val="22"/>
          <w:szCs w:val="22"/>
        </w:rPr>
        <w:t xml:space="preserve"> do Edital no sentido de que: 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150594" w:rsidRDefault="000B79F2" w:rsidP="000B79F2">
      <w:pPr>
        <w:jc w:val="both"/>
        <w:rPr>
          <w:rFonts w:ascii="Minion Pro" w:hAnsi="Minion Pro" w:cs="Calibri"/>
          <w:sz w:val="22"/>
          <w:szCs w:val="22"/>
        </w:rPr>
      </w:pPr>
      <w:r w:rsidRPr="00150594">
        <w:rPr>
          <w:rFonts w:ascii="Minion Pro" w:hAnsi="Minion Pro"/>
          <w:sz w:val="22"/>
          <w:szCs w:val="22"/>
        </w:rPr>
        <w:t>“</w:t>
      </w:r>
      <w:r w:rsidRPr="00150594">
        <w:rPr>
          <w:rFonts w:ascii="Minion Pro" w:hAnsi="Minion Pro" w:cs="Calibri"/>
          <w:sz w:val="22"/>
          <w:szCs w:val="22"/>
        </w:rPr>
        <w:t xml:space="preserve">Até às 17h (horário de Brasília/DF) do terceiro dia útil anterior à data fixada para abertura da sessão pública, qualquer pessoa, física ou jurídica, poderá </w:t>
      </w:r>
      <w:r w:rsidRPr="00150594">
        <w:rPr>
          <w:rFonts w:ascii="Minion Pro" w:hAnsi="Minion Pro" w:cs="Calibri"/>
          <w:sz w:val="22"/>
          <w:szCs w:val="22"/>
          <w:u w:val="single"/>
        </w:rPr>
        <w:t>impugnar</w:t>
      </w:r>
      <w:r w:rsidRPr="00150594">
        <w:rPr>
          <w:rFonts w:ascii="Minion Pro" w:hAnsi="Minion Pro" w:cs="Calibri"/>
          <w:sz w:val="22"/>
          <w:szCs w:val="22"/>
        </w:rPr>
        <w:t xml:space="preserve"> o ato convocatório deste Pregão mediante petição a ser enviada exclusivamente para o endereço eletrônico: </w:t>
      </w:r>
      <w:hyperlink r:id="rId7" w:history="1">
        <w:r w:rsidRPr="00150594">
          <w:rPr>
            <w:rStyle w:val="Hyperlink"/>
            <w:rFonts w:ascii="Minion Pro" w:hAnsi="Minion Pro" w:cs="Calibri"/>
            <w:color w:val="auto"/>
            <w:sz w:val="22"/>
            <w:szCs w:val="22"/>
          </w:rPr>
          <w:t>licitacao@sesc-ce.com.br</w:t>
        </w:r>
      </w:hyperlink>
      <w:r w:rsidRPr="00150594">
        <w:rPr>
          <w:rFonts w:ascii="Minion Pro" w:hAnsi="Minion Pro" w:cs="Calibri"/>
          <w:sz w:val="22"/>
          <w:szCs w:val="22"/>
        </w:rPr>
        <w:t>.”</w:t>
      </w:r>
    </w:p>
    <w:p w:rsidR="000B79F2" w:rsidRPr="00150594" w:rsidRDefault="000B79F2" w:rsidP="000B79F2">
      <w:pPr>
        <w:jc w:val="both"/>
        <w:rPr>
          <w:rFonts w:ascii="Minion Pro" w:hAnsi="Minion Pro" w:cs="Calibri"/>
          <w:sz w:val="22"/>
          <w:szCs w:val="22"/>
        </w:rPr>
      </w:pPr>
    </w:p>
    <w:p w:rsidR="000B79F2" w:rsidRPr="00150594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150594">
        <w:rPr>
          <w:rFonts w:ascii="Minion Pro" w:hAnsi="Minion Pro"/>
          <w:sz w:val="22"/>
          <w:szCs w:val="22"/>
        </w:rPr>
        <w:t xml:space="preserve">Considerando a previsão na </w:t>
      </w:r>
      <w:r w:rsidRPr="00584A73">
        <w:rPr>
          <w:rFonts w:ascii="Minion Pro" w:hAnsi="Minion Pro"/>
          <w:sz w:val="22"/>
          <w:szCs w:val="22"/>
          <w:highlight w:val="yellow"/>
        </w:rPr>
        <w:t xml:space="preserve">Cláusula </w:t>
      </w:r>
      <w:r>
        <w:rPr>
          <w:rFonts w:ascii="Minion Pro" w:hAnsi="Minion Pro"/>
          <w:sz w:val="22"/>
          <w:szCs w:val="22"/>
          <w:highlight w:val="yellow"/>
        </w:rPr>
        <w:t>5</w:t>
      </w:r>
      <w:r w:rsidRPr="00584A73">
        <w:rPr>
          <w:rFonts w:ascii="Minion Pro" w:hAnsi="Minion Pro"/>
          <w:sz w:val="22"/>
          <w:szCs w:val="22"/>
          <w:highlight w:val="yellow"/>
        </w:rPr>
        <w:t>.4</w:t>
      </w:r>
      <w:r w:rsidRPr="00150594">
        <w:rPr>
          <w:rFonts w:ascii="Minion Pro" w:hAnsi="Minion Pro"/>
          <w:sz w:val="22"/>
          <w:szCs w:val="22"/>
        </w:rPr>
        <w:t xml:space="preserve"> </w:t>
      </w:r>
      <w:r w:rsidRPr="00F6174D">
        <w:rPr>
          <w:rFonts w:ascii="Minion Pro" w:hAnsi="Minion Pro"/>
          <w:b/>
          <w:sz w:val="22"/>
          <w:szCs w:val="22"/>
          <w:u w:val="single"/>
        </w:rPr>
        <w:t>(no caso de esclarecimento)</w:t>
      </w:r>
      <w:r w:rsidRPr="00150594">
        <w:rPr>
          <w:rFonts w:ascii="Minion Pro" w:hAnsi="Minion Pro"/>
          <w:sz w:val="22"/>
          <w:szCs w:val="22"/>
        </w:rPr>
        <w:t xml:space="preserve"> do Edital no sentido de que: </w:t>
      </w:r>
    </w:p>
    <w:p w:rsidR="000B79F2" w:rsidRPr="00150594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150594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150594">
        <w:rPr>
          <w:rFonts w:ascii="Minion Pro" w:hAnsi="Minion Pro"/>
          <w:sz w:val="22"/>
          <w:szCs w:val="22"/>
        </w:rPr>
        <w:t>“</w:t>
      </w:r>
      <w:r w:rsidRPr="00150594">
        <w:rPr>
          <w:rFonts w:ascii="Minion Pro" w:hAnsi="Minion Pro" w:cs="Calibri"/>
          <w:sz w:val="22"/>
          <w:szCs w:val="22"/>
        </w:rPr>
        <w:t xml:space="preserve">Os </w:t>
      </w:r>
      <w:r w:rsidRPr="00150594">
        <w:rPr>
          <w:rFonts w:ascii="Minion Pro" w:hAnsi="Minion Pro" w:cs="Calibri"/>
          <w:sz w:val="22"/>
          <w:szCs w:val="22"/>
          <w:u w:val="single"/>
        </w:rPr>
        <w:t>pedidos de esclarecimentos</w:t>
      </w:r>
      <w:r w:rsidRPr="00150594">
        <w:rPr>
          <w:rFonts w:ascii="Minion Pro" w:hAnsi="Minion Pro" w:cs="Calibri"/>
          <w:sz w:val="22"/>
          <w:szCs w:val="22"/>
        </w:rPr>
        <w:t xml:space="preserve"> deverão ser enviados ao Pregoeiro até às 17h (horário de Brasília/DF) do terceiro dia útil anterior à data fixada para abertura da sessão pública, exclusivamente para o endereço eletrônico: </w:t>
      </w:r>
      <w:hyperlink r:id="rId8" w:history="1">
        <w:r w:rsidRPr="00150594">
          <w:rPr>
            <w:rStyle w:val="Hyperlink"/>
            <w:rFonts w:ascii="Minion Pro" w:hAnsi="Minion Pro" w:cs="Calibri"/>
            <w:color w:val="auto"/>
            <w:sz w:val="22"/>
            <w:szCs w:val="22"/>
          </w:rPr>
          <w:t>licitacao@sesc-ce.com.br</w:t>
        </w:r>
      </w:hyperlink>
      <w:r w:rsidRPr="00150594">
        <w:rPr>
          <w:rFonts w:ascii="Minion Pro" w:hAnsi="Minion Pro" w:cs="Calibri"/>
          <w:sz w:val="22"/>
          <w:szCs w:val="22"/>
        </w:rPr>
        <w:t>.”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>Considerando que a Impugnação/Esclarecimento foi apresentado no dia XX/XX/</w:t>
      </w:r>
      <w:r>
        <w:rPr>
          <w:rFonts w:ascii="Minion Pro" w:hAnsi="Minion Pro"/>
          <w:sz w:val="22"/>
          <w:szCs w:val="22"/>
        </w:rPr>
        <w:t>2025</w:t>
      </w:r>
      <w:r w:rsidRPr="0056477E">
        <w:rPr>
          <w:rFonts w:ascii="Minion Pro" w:hAnsi="Minion Pro"/>
          <w:sz w:val="22"/>
          <w:szCs w:val="22"/>
        </w:rPr>
        <w:t xml:space="preserve">, às </w:t>
      </w:r>
      <w:proofErr w:type="spellStart"/>
      <w:r w:rsidRPr="0056477E">
        <w:rPr>
          <w:rFonts w:ascii="Minion Pro" w:hAnsi="Minion Pro"/>
          <w:sz w:val="22"/>
          <w:szCs w:val="22"/>
        </w:rPr>
        <w:t>XX</w:t>
      </w:r>
      <w:r>
        <w:rPr>
          <w:rFonts w:ascii="Minion Pro" w:hAnsi="Minion Pro"/>
          <w:sz w:val="22"/>
          <w:szCs w:val="22"/>
        </w:rPr>
        <w:t>h</w:t>
      </w:r>
      <w:r w:rsidRPr="0056477E">
        <w:rPr>
          <w:rFonts w:ascii="Minion Pro" w:hAnsi="Minion Pro"/>
          <w:sz w:val="22"/>
          <w:szCs w:val="22"/>
        </w:rPr>
        <w:t>XX</w:t>
      </w:r>
      <w:proofErr w:type="spellEnd"/>
      <w:r w:rsidRPr="0056477E">
        <w:rPr>
          <w:rFonts w:ascii="Minion Pro" w:hAnsi="Minion Pro"/>
          <w:sz w:val="22"/>
          <w:szCs w:val="22"/>
        </w:rPr>
        <w:t>;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>O(a) Pregoeiro(a) declara que a Impugnação/Esclarecimento se encontra TEMPESTIVO (prossegue com o mérito).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 xml:space="preserve">Ou 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>O(a) Pregoeiro(a) declara que a Impugnação/Esclarecimento se encontra INTEMPESTIVO (não prossegue com o mérito).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  <w:r w:rsidRPr="0056477E">
        <w:rPr>
          <w:rFonts w:ascii="Minion Pro" w:hAnsi="Minion Pro"/>
          <w:b/>
          <w:sz w:val="22"/>
          <w:szCs w:val="22"/>
        </w:rPr>
        <w:t>II – Do Mérito da Impugnação/Esclarecimento:</w:t>
      </w: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>1- Em relação ao objeto da Impugnação/Esclarecimento que trata de XXX, assim nos manifestamos: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  <w:r w:rsidRPr="00FD030E">
        <w:rPr>
          <w:rFonts w:ascii="Minion Pro" w:hAnsi="Minion Pro"/>
          <w:b/>
          <w:color w:val="FF0000"/>
          <w:sz w:val="22"/>
          <w:szCs w:val="22"/>
        </w:rPr>
        <w:t xml:space="preserve">Resposta do item 1: </w:t>
      </w:r>
      <w:r w:rsidRPr="00FD030E">
        <w:rPr>
          <w:rFonts w:ascii="Minion Pro" w:hAnsi="Minion Pro"/>
          <w:color w:val="FF0000"/>
          <w:sz w:val="22"/>
          <w:szCs w:val="22"/>
        </w:rPr>
        <w:t>ACATAMOS ou NÃO ACATAMOS, pelos motivos XXX</w:t>
      </w:r>
      <w:r w:rsidRPr="0056477E">
        <w:rPr>
          <w:rFonts w:ascii="Minion Pro" w:hAnsi="Minion Pro"/>
          <w:sz w:val="22"/>
          <w:szCs w:val="22"/>
        </w:rPr>
        <w:t>.</w:t>
      </w: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>2- Em relação ao objeto da Impugnação/Esclarecimento que trata de XXX, assim nos manifestamos: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FD030E" w:rsidRDefault="000B79F2" w:rsidP="000B79F2">
      <w:pPr>
        <w:jc w:val="both"/>
        <w:rPr>
          <w:rFonts w:ascii="Minion Pro" w:hAnsi="Minion Pro"/>
          <w:b/>
          <w:color w:val="FF0000"/>
          <w:sz w:val="22"/>
          <w:szCs w:val="22"/>
        </w:rPr>
      </w:pPr>
      <w:r w:rsidRPr="00FD030E">
        <w:rPr>
          <w:rFonts w:ascii="Minion Pro" w:hAnsi="Minion Pro"/>
          <w:b/>
          <w:color w:val="FF0000"/>
          <w:sz w:val="22"/>
          <w:szCs w:val="22"/>
        </w:rPr>
        <w:lastRenderedPageBreak/>
        <w:t xml:space="preserve">Resposta do item 2: </w:t>
      </w:r>
      <w:r w:rsidRPr="00FD030E">
        <w:rPr>
          <w:rFonts w:ascii="Minion Pro" w:hAnsi="Minion Pro"/>
          <w:color w:val="FF0000"/>
          <w:sz w:val="22"/>
          <w:szCs w:val="22"/>
        </w:rPr>
        <w:t>ACATAMOS ou NÃO ACATAMOS, pelos motivos XXX.</w:t>
      </w: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>3- Em relação ao objeto da Impugnação/Esclarecimento que trata de XXX, assim nos manifestamos: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FD030E" w:rsidRDefault="000B79F2" w:rsidP="000B79F2">
      <w:pPr>
        <w:jc w:val="both"/>
        <w:rPr>
          <w:rFonts w:ascii="Minion Pro" w:hAnsi="Minion Pro"/>
          <w:b/>
          <w:color w:val="FF0000"/>
          <w:sz w:val="22"/>
          <w:szCs w:val="22"/>
        </w:rPr>
      </w:pPr>
      <w:r w:rsidRPr="00FD030E">
        <w:rPr>
          <w:rFonts w:ascii="Minion Pro" w:hAnsi="Minion Pro"/>
          <w:b/>
          <w:color w:val="FF0000"/>
          <w:sz w:val="22"/>
          <w:szCs w:val="22"/>
        </w:rPr>
        <w:t xml:space="preserve">Resposta do item 3: </w:t>
      </w:r>
      <w:r w:rsidRPr="00FD030E">
        <w:rPr>
          <w:rFonts w:ascii="Minion Pro" w:hAnsi="Minion Pro"/>
          <w:color w:val="FF0000"/>
          <w:sz w:val="22"/>
          <w:szCs w:val="22"/>
        </w:rPr>
        <w:t>ACATAMOS ou NÃO ACATAMOS, pelos motivos XXX.</w:t>
      </w: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  <w:r w:rsidRPr="0056477E">
        <w:rPr>
          <w:rFonts w:ascii="Minion Pro" w:hAnsi="Minion Pro"/>
          <w:sz w:val="22"/>
          <w:szCs w:val="22"/>
        </w:rPr>
        <w:t>Fortaleza</w:t>
      </w:r>
      <w:r>
        <w:rPr>
          <w:rFonts w:ascii="Minion Pro" w:hAnsi="Minion Pro"/>
          <w:sz w:val="22"/>
          <w:szCs w:val="22"/>
        </w:rPr>
        <w:t>/CE</w:t>
      </w:r>
      <w:r w:rsidRPr="0056477E">
        <w:rPr>
          <w:rFonts w:ascii="Minion Pro" w:hAnsi="Minion Pro"/>
          <w:sz w:val="22"/>
          <w:szCs w:val="22"/>
        </w:rPr>
        <w:t xml:space="preserve">, XX de XXX de </w:t>
      </w:r>
      <w:r>
        <w:rPr>
          <w:rFonts w:ascii="Minion Pro" w:hAnsi="Minion Pro"/>
          <w:sz w:val="22"/>
          <w:szCs w:val="22"/>
        </w:rPr>
        <w:t>2025</w:t>
      </w:r>
      <w:r w:rsidRPr="0056477E">
        <w:rPr>
          <w:rFonts w:ascii="Minion Pro" w:hAnsi="Minion Pro"/>
          <w:sz w:val="22"/>
          <w:szCs w:val="22"/>
        </w:rPr>
        <w:t>.</w:t>
      </w: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  <w:r w:rsidRPr="0056477E">
        <w:rPr>
          <w:rFonts w:ascii="Minion Pro" w:hAnsi="Minion Pro"/>
          <w:b/>
          <w:sz w:val="22"/>
          <w:szCs w:val="22"/>
        </w:rPr>
        <w:t xml:space="preserve">Nome completo </w:t>
      </w: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  <w:r w:rsidRPr="0056477E">
        <w:rPr>
          <w:rFonts w:ascii="Minion Pro" w:hAnsi="Minion Pro"/>
          <w:b/>
          <w:sz w:val="22"/>
          <w:szCs w:val="22"/>
        </w:rPr>
        <w:t>Pregoeiro Responsável</w:t>
      </w:r>
    </w:p>
    <w:p w:rsidR="000B79F2" w:rsidRPr="0056477E" w:rsidRDefault="000B79F2" w:rsidP="000B79F2">
      <w:pPr>
        <w:jc w:val="both"/>
        <w:rPr>
          <w:rFonts w:ascii="Minion Pro" w:hAnsi="Minion Pro"/>
          <w:sz w:val="22"/>
          <w:szCs w:val="22"/>
        </w:rPr>
      </w:pPr>
    </w:p>
    <w:p w:rsidR="000B79F2" w:rsidRPr="0056477E" w:rsidRDefault="000B79F2" w:rsidP="000B79F2">
      <w:pPr>
        <w:jc w:val="both"/>
        <w:rPr>
          <w:rFonts w:ascii="Minion Pro" w:hAnsi="Minion Pro"/>
          <w:b/>
          <w:sz w:val="22"/>
          <w:szCs w:val="22"/>
        </w:rPr>
      </w:pPr>
      <w:r w:rsidRPr="0056477E">
        <w:rPr>
          <w:rFonts w:ascii="Minion Pro" w:hAnsi="Minion Pro"/>
          <w:b/>
          <w:sz w:val="22"/>
          <w:szCs w:val="22"/>
        </w:rPr>
        <w:t xml:space="preserve">(Salva em </w:t>
      </w:r>
      <w:proofErr w:type="spellStart"/>
      <w:r w:rsidRPr="0056477E">
        <w:rPr>
          <w:rFonts w:ascii="Minion Pro" w:hAnsi="Minion Pro"/>
          <w:b/>
          <w:sz w:val="22"/>
          <w:szCs w:val="22"/>
        </w:rPr>
        <w:t>pdf</w:t>
      </w:r>
      <w:proofErr w:type="spellEnd"/>
      <w:r w:rsidRPr="0056477E">
        <w:rPr>
          <w:rFonts w:ascii="Minion Pro" w:hAnsi="Minion Pro"/>
          <w:b/>
          <w:sz w:val="22"/>
          <w:szCs w:val="22"/>
        </w:rPr>
        <w:t xml:space="preserve"> e coloca no </w:t>
      </w:r>
      <w:proofErr w:type="spellStart"/>
      <w:r w:rsidRPr="0056477E">
        <w:rPr>
          <w:rFonts w:ascii="Minion Pro" w:hAnsi="Minion Pro"/>
          <w:b/>
          <w:sz w:val="22"/>
          <w:szCs w:val="22"/>
        </w:rPr>
        <w:t>licitaSESC</w:t>
      </w:r>
      <w:proofErr w:type="spellEnd"/>
      <w:r w:rsidRPr="0056477E">
        <w:rPr>
          <w:rFonts w:ascii="Minion Pro" w:hAnsi="Minion Pro"/>
          <w:b/>
          <w:sz w:val="22"/>
          <w:szCs w:val="22"/>
        </w:rPr>
        <w:t xml:space="preserve"> e Comprasnet)</w:t>
      </w:r>
    </w:p>
    <w:p w:rsidR="0036554E" w:rsidRPr="00205F54" w:rsidRDefault="0036554E" w:rsidP="000B79F2">
      <w:pPr>
        <w:jc w:val="both"/>
      </w:pPr>
    </w:p>
    <w:sectPr w:rsidR="0036554E" w:rsidRPr="00205F54" w:rsidSect="00B02B35">
      <w:headerReference w:type="default" r:id="rId9"/>
      <w:footerReference w:type="default" r:id="rId10"/>
      <w:pgSz w:w="11900" w:h="16840"/>
      <w:pgMar w:top="1985" w:right="1269" w:bottom="1985" w:left="1134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443" w:rsidRDefault="00732443" w:rsidP="00BF08D6">
      <w:r>
        <w:separator/>
      </w:r>
    </w:p>
  </w:endnote>
  <w:endnote w:type="continuationSeparator" w:id="0">
    <w:p w:rsidR="00732443" w:rsidRDefault="00732443" w:rsidP="00BF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130894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</w:rPr>
    </w:sdtEndPr>
    <w:sdtContent>
      <w:sdt>
        <w:sdtPr>
          <w:rPr>
            <w:rFonts w:ascii="Calibri" w:hAnsi="Calibri" w:cs="Calibri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A551B1" w:rsidRDefault="00A551B1">
            <w:pPr>
              <w:pStyle w:val="Rodap"/>
              <w:rPr>
                <w:rFonts w:ascii="Calibri" w:hAnsi="Calibri" w:cs="Calibri"/>
                <w:sz w:val="20"/>
              </w:rPr>
            </w:pPr>
          </w:p>
          <w:p w:rsidR="00A551B1" w:rsidRPr="004909BC" w:rsidRDefault="000B79F2">
            <w:pPr>
              <w:pStyle w:val="Rodap"/>
              <w:rPr>
                <w:rFonts w:ascii="Calibri" w:hAnsi="Calibri" w:cs="Calibri"/>
                <w:b/>
                <w:bCs/>
                <w:sz w:val="20"/>
              </w:rPr>
            </w:pPr>
          </w:p>
        </w:sdtContent>
      </w:sdt>
    </w:sdtContent>
  </w:sdt>
  <w:p w:rsidR="00A551B1" w:rsidRDefault="00A551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443" w:rsidRDefault="00732443" w:rsidP="00BF08D6">
      <w:r>
        <w:separator/>
      </w:r>
    </w:p>
  </w:footnote>
  <w:footnote w:type="continuationSeparator" w:id="0">
    <w:p w:rsidR="00732443" w:rsidRDefault="00732443" w:rsidP="00BF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216" w:rsidRDefault="00B36216" w:rsidP="00BF08D6">
    <w:pPr>
      <w:pStyle w:val="Cabealho"/>
      <w:tabs>
        <w:tab w:val="clear" w:pos="8504"/>
        <w:tab w:val="right" w:pos="8498"/>
      </w:tabs>
    </w:pPr>
  </w:p>
  <w:p w:rsidR="00BF08D6" w:rsidRDefault="00BF08D6" w:rsidP="00BF08D6">
    <w:pPr>
      <w:pStyle w:val="Cabealho"/>
      <w:tabs>
        <w:tab w:val="clear" w:pos="8504"/>
        <w:tab w:val="right" w:pos="8498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99045" cy="107543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Timbrados fec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598" cy="1075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D6"/>
    <w:rsid w:val="000B79F2"/>
    <w:rsid w:val="000F1F8C"/>
    <w:rsid w:val="001362F0"/>
    <w:rsid w:val="00193D46"/>
    <w:rsid w:val="001C567A"/>
    <w:rsid w:val="001C6B1F"/>
    <w:rsid w:val="00205F54"/>
    <w:rsid w:val="002946FA"/>
    <w:rsid w:val="002E17BA"/>
    <w:rsid w:val="00333CC3"/>
    <w:rsid w:val="0036554E"/>
    <w:rsid w:val="004909BC"/>
    <w:rsid w:val="00620F04"/>
    <w:rsid w:val="006975DC"/>
    <w:rsid w:val="006D469A"/>
    <w:rsid w:val="007242EC"/>
    <w:rsid w:val="00732443"/>
    <w:rsid w:val="00776215"/>
    <w:rsid w:val="007B5CE1"/>
    <w:rsid w:val="008160F4"/>
    <w:rsid w:val="00837180"/>
    <w:rsid w:val="00850D2B"/>
    <w:rsid w:val="008D11F5"/>
    <w:rsid w:val="0095203D"/>
    <w:rsid w:val="00A551B1"/>
    <w:rsid w:val="00A95064"/>
    <w:rsid w:val="00AB2059"/>
    <w:rsid w:val="00B02B35"/>
    <w:rsid w:val="00B36216"/>
    <w:rsid w:val="00BF08D6"/>
    <w:rsid w:val="00CB17D6"/>
    <w:rsid w:val="00E3103F"/>
    <w:rsid w:val="00F4345E"/>
    <w:rsid w:val="00FC2307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575ADA"/>
  <w15:chartTrackingRefBased/>
  <w15:docId w15:val="{C44F7E2D-6723-A34F-B79D-ECFB3A45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55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55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08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08D6"/>
  </w:style>
  <w:style w:type="paragraph" w:styleId="Rodap">
    <w:name w:val="footer"/>
    <w:basedOn w:val="Normal"/>
    <w:link w:val="RodapChar"/>
    <w:uiPriority w:val="99"/>
    <w:unhideWhenUsed/>
    <w:rsid w:val="00BF08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08D6"/>
  </w:style>
  <w:style w:type="paragraph" w:customStyle="1" w:styleId="Pargrafobsico">
    <w:name w:val="[Parágrafo básico]"/>
    <w:basedOn w:val="Normal"/>
    <w:uiPriority w:val="99"/>
    <w:rsid w:val="00BF08D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5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5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uiPriority w:val="99"/>
    <w:semiHidden/>
    <w:unhideWhenUsed/>
    <w:rsid w:val="00FC2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esc-c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sesc-ce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41CD-D824-4B59-91D2-AF195E16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NOEME SANTOS DA SILVA</cp:lastModifiedBy>
  <cp:revision>10</cp:revision>
  <cp:lastPrinted>2022-05-03T20:02:00Z</cp:lastPrinted>
  <dcterms:created xsi:type="dcterms:W3CDTF">2023-02-09T14:29:00Z</dcterms:created>
  <dcterms:modified xsi:type="dcterms:W3CDTF">2024-12-10T12:21:00Z</dcterms:modified>
</cp:coreProperties>
</file>